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bCs/>
          <w:sz w:val="20"/>
          <w:szCs w:val="20"/>
        </w:rPr>
        <w:t xml:space="preserve">SCC MIDDLE EAST</w:t>
      </w:r>
    </w:p>
    <w:p>
      <w:pPr>
        <w:pStyle w:val="Title"/>
        <w:spacing w:after="60"/>
      </w:pPr>
      <w:r>
        <w:t xml:space="preserve">Supplier Code of Conduct</w:t>
      </w:r>
    </w:p>
    <w:p>
      <w:pPr>
        <w:spacing w:after="160"/>
      </w:pPr>
      <w:r>
        <w:rPr>
          <w:i/>
          <w:iCs/>
          <w:sz w:val="20"/>
          <w:szCs w:val="20"/>
        </w:rPr>
        <w:t xml:space="preserve">Version 1.0 | External — for supplier use</w:t>
      </w:r>
    </w:p>
    <w:p>
      <w:pPr>
        <w:spacing w:after="160"/>
      </w:pPr>
      <w:r>
        <w:t xml:space="preserve"/>
      </w:r>
    </w:p>
    <w:tbl>
      <w:tblPr>
        <w:tblW w:type="pct" w:w="100%"/>
        <w:tblBorders>
          <w:top w:val="none"/>
          <w:left w:val="none"/>
          <w:bottom w:val="none"/>
          <w:right w:val="none"/>
          <w:insideH w:val="none"/>
          <w:insideV w:val="none"/>
        </w:tblBorders>
      </w:tblPr>
      <w:tblGrid>
        <w:gridCol w:w="100"/>
        <w:gridCol w:w="100"/>
      </w:tblGrid>
      <w:tr>
        <w:tc>
          <w:tcPr>
            <w:tcW w:type="pct" w:w="30%"/>
          </w:tcPr>
          <w:p>
            <w:pPr>
              <w:spacing w:after="160"/>
            </w:pPr>
            <w:r>
              <w:rPr>
                <w:b/>
                <w:bCs/>
                <w:sz w:val="20"/>
                <w:szCs w:val="20"/>
              </w:rPr>
              <w:t xml:space="preserve">Document Ref</w:t>
            </w:r>
          </w:p>
        </w:tc>
        <w:tc>
          <w:tcPr>
            <w:tcW w:type="pct" w:w="70%"/>
          </w:tcPr>
          <w:p>
            <w:pPr>
              <w:spacing w:after="160"/>
            </w:pPr>
            <w:r>
              <w:rPr>
                <w:sz w:val="20"/>
                <w:szCs w:val="20"/>
              </w:rPr>
              <w:t xml:space="preserve">SCC-ME-SCOC-001</w:t>
            </w:r>
          </w:p>
        </w:tc>
      </w:tr>
      <w:tr>
        <w:tc>
          <w:tcPr>
            <w:tcW w:type="pct" w:w="30%"/>
          </w:tcPr>
          <w:p>
            <w:pPr>
              <w:spacing w:after="160"/>
            </w:pPr>
            <w:r>
              <w:rPr>
                <w:b/>
                <w:bCs/>
                <w:sz w:val="20"/>
                <w:szCs w:val="20"/>
              </w:rPr>
              <w:t xml:space="preserve">Version</w:t>
            </w:r>
          </w:p>
        </w:tc>
        <w:tc>
          <w:tcPr>
            <w:tcW w:type="pct" w:w="70%"/>
          </w:tcPr>
          <w:p>
            <w:pPr>
              <w:spacing w:after="160"/>
            </w:pPr>
            <w:r>
              <w:rPr>
                <w:sz w:val="20"/>
                <w:szCs w:val="20"/>
              </w:rPr>
              <w:t xml:space="preserve">1.0</w:t>
            </w:r>
          </w:p>
        </w:tc>
      </w:tr>
      <w:tr>
        <w:tc>
          <w:tcPr>
            <w:tcW w:type="pct" w:w="30%"/>
          </w:tcPr>
          <w:p>
            <w:pPr>
              <w:spacing w:after="160"/>
            </w:pPr>
            <w:r>
              <w:rPr>
                <w:b/>
                <w:bCs/>
                <w:sz w:val="20"/>
                <w:szCs w:val="20"/>
              </w:rPr>
              <w:t xml:space="preserve">Effective Date</w:t>
            </w:r>
          </w:p>
        </w:tc>
        <w:tc>
          <w:tcPr>
            <w:tcW w:type="pct" w:w="70%"/>
          </w:tcPr>
          <w:p>
            <w:pPr>
              <w:spacing w:after="160"/>
            </w:pPr>
            <w:r>
              <w:rPr>
                <w:sz w:val="20"/>
                <w:szCs w:val="20"/>
              </w:rPr>
              <w:t xml:space="preserve">[INSERT DATE]</w:t>
            </w:r>
          </w:p>
        </w:tc>
      </w:tr>
      <w:tr>
        <w:tc>
          <w:tcPr>
            <w:tcW w:type="pct" w:w="30%"/>
          </w:tcPr>
          <w:p>
            <w:pPr>
              <w:spacing w:after="160"/>
            </w:pPr>
            <w:r>
              <w:rPr>
                <w:b/>
                <w:bCs/>
                <w:sz w:val="20"/>
                <w:szCs w:val="20"/>
              </w:rPr>
              <w:t xml:space="preserve">Policy Owner</w:t>
            </w:r>
          </w:p>
        </w:tc>
        <w:tc>
          <w:tcPr>
            <w:tcW w:type="pct" w:w="70%"/>
          </w:tcPr>
          <w:p>
            <w:pPr>
              <w:spacing w:after="160"/>
            </w:pPr>
            <w:r>
              <w:rPr>
                <w:sz w:val="20"/>
                <w:szCs w:val="20"/>
              </w:rPr>
              <w:t xml:space="preserve">Group CISO / SCC Middle East Legal</w:t>
            </w:r>
          </w:p>
        </w:tc>
      </w:tr>
      <w:tr>
        <w:tc>
          <w:tcPr>
            <w:tcW w:type="pct" w:w="30%"/>
          </w:tcPr>
          <w:p>
            <w:pPr>
              <w:spacing w:after="160"/>
            </w:pPr>
            <w:r>
              <w:rPr>
                <w:b/>
                <w:bCs/>
                <w:sz w:val="20"/>
                <w:szCs w:val="20"/>
              </w:rPr>
              <w:t xml:space="preserve">Review Cycle</w:t>
            </w:r>
          </w:p>
        </w:tc>
        <w:tc>
          <w:tcPr>
            <w:tcW w:type="pct" w:w="70%"/>
          </w:tcPr>
          <w:p>
            <w:pPr>
              <w:spacing w:after="160"/>
            </w:pPr>
            <w:r>
              <w:rPr>
                <w:sz w:val="20"/>
                <w:szCs w:val="20"/>
              </w:rPr>
              <w:t xml:space="preserve">Annual</w:t>
            </w:r>
          </w:p>
        </w:tc>
      </w:tr>
      <w:tr>
        <w:tc>
          <w:tcPr>
            <w:tcW w:type="pct" w:w="30%"/>
          </w:tcPr>
          <w:p>
            <w:pPr>
              <w:spacing w:after="160"/>
            </w:pPr>
            <w:r>
              <w:rPr>
                <w:b/>
                <w:bCs/>
                <w:sz w:val="20"/>
                <w:szCs w:val="20"/>
              </w:rPr>
              <w:t xml:space="preserve">Acceptance</w:t>
            </w:r>
          </w:p>
        </w:tc>
        <w:tc>
          <w:tcPr>
            <w:tcW w:type="pct" w:w="70%"/>
          </w:tcPr>
          <w:p>
            <w:pPr>
              <w:spacing w:after="160"/>
            </w:pPr>
            <w:r>
              <w:rPr>
                <w:sz w:val="20"/>
                <w:szCs w:val="20"/>
              </w:rPr>
              <w:t xml:space="preserve">DocuSign — integrated to Zoho CRM compliance module</w:t>
            </w:r>
          </w:p>
        </w:tc>
      </w:tr>
      <w:tr>
        <w:tc>
          <w:tcPr>
            <w:tcW w:type="pct" w:w="30%"/>
          </w:tcPr>
          <w:p>
            <w:pPr>
              <w:spacing w:after="160"/>
            </w:pPr>
            <w:r>
              <w:rPr>
                <w:b/>
                <w:bCs/>
                <w:sz w:val="20"/>
                <w:szCs w:val="20"/>
              </w:rPr>
              <w:t xml:space="preserve">Scope</w:t>
            </w:r>
          </w:p>
        </w:tc>
        <w:tc>
          <w:tcPr>
            <w:tcW w:type="pct" w:w="70%"/>
          </w:tcPr>
          <w:p>
            <w:pPr>
              <w:spacing w:after="160"/>
            </w:pPr>
            <w:r>
              <w:rPr>
                <w:sz w:val="20"/>
                <w:szCs w:val="20"/>
              </w:rPr>
              <w:t xml:space="preserve">All suppliers, subcontractors, agents, and third parties contracting with SCC Middle East</w:t>
            </w:r>
          </w:p>
        </w:tc>
      </w:tr>
    </w:tbl>
    <w:p>
      <w:pPr>
        <w:spacing w:after="160"/>
      </w:pPr>
      <w:r>
        <w:t xml:space="preserve"/>
      </w:r>
    </w:p>
    <w:tbl>
      <w:tblPr>
        <w:tblW w:type="pct" w:w="100%"/>
        <w:tblBorders>
          <w:top w:val="single" w:color="888888" w:sz="4"/>
          <w:left w:val="single" w:color="888888" w:sz="4"/>
          <w:bottom w:val="single" w:color="888888" w:sz="4"/>
          <w:right w:val="single" w:color="888888" w:sz="4"/>
          <w:insideH w:val="single" w:color="auto" w:sz="4"/>
          <w:insideV w:val="single" w:color="auto" w:sz="4"/>
        </w:tblBorders>
      </w:tblPr>
      <w:tblGrid>
        <w:gridCol w:w="100"/>
      </w:tblGrid>
      <w:tr>
        <w:tc>
          <w:tcPr>
            <w:shd w:fill="FBFBFB" w:val="clear"/>
            <w:tcMar>
              <w:top w:type="dxa" w:w="120"/>
              <w:left w:type="dxa" w:w="160"/>
              <w:bottom w:type="dxa" w:w="120"/>
              <w:right w:type="dxa" w:w="160"/>
            </w:tcMar>
          </w:tcPr>
          <w:p>
            <w:pPr>
              <w:spacing w:after="0"/>
            </w:pPr>
            <w:r>
              <w:rPr>
                <w:i/>
                <w:iCs/>
                <w:sz w:val="20"/>
                <w:szCs w:val="20"/>
              </w:rPr>
              <w:t xml:space="preserve">This document has been subjected to a final review in light of recent and proposed changes to UAE legislation. One citation in the companion Employee Code has been corrected following review of the PDPL's primary statutory text; the Implementing Regulations status referenced in that document remains flagged for confirmation with UAE-qualified counsel — see the equivalent note in that document for detail.</w:t>
            </w:r>
          </w:p>
        </w:tc>
      </w:tr>
    </w:tbl>
    <w:p>
      <w:pPr>
        <w:spacing w:after="160"/>
      </w:pPr>
      <w:r>
        <w:t xml:space="preserve"/>
      </w:r>
    </w:p>
    <w:p>
      <w:pPr>
        <w:pStyle w:val="Heading1"/>
        <w:spacing w:after="120" w:before="240"/>
      </w:pPr>
      <w:r>
        <w:t xml:space="preserve">How to Read This Code</w:t>
      </w:r>
    </w:p>
    <w:p>
      <w:pPr>
        <w:spacing w:after="160"/>
      </w:pPr>
      <w:r>
        <w:t xml:space="preserve">This Supplier Code of Conduct sets out the minimum standards SCC Middle East requires of all suppliers, subcontractors, agents, and third parties (together, the Supplier). By contracting with SCC Middle East, the Supplier agrees to comply with this Code and to cascade equivalent obligations to its own supply chain.</w:t>
      </w:r>
    </w:p>
    <w:p>
      <w:pPr>
        <w:spacing w:after="160"/>
      </w:pPr>
      <w:r>
        <w:t xml:space="preserve">Compliance with this Code is a condition of doing business with SCC Middle East. Breach may result in contract termination, exclusion from future procurement, and reporting to relevant authorities.</w:t>
      </w:r>
    </w:p>
    <w:tbl>
      <w:tblPr>
        <w:tblW w:type="pct" w:w="100%"/>
        <w:tblBorders>
          <w:top w:val="single" w:color="444444" w:sz="6"/>
          <w:left w:val="single" w:color="444444" w:sz="6"/>
          <w:bottom w:val="single" w:color="444444" w:sz="6"/>
          <w:right w:val="single" w:color="444444" w:sz="6"/>
          <w:insideH w:val="single" w:color="auto" w:sz="4"/>
          <w:insideV w:val="single" w:color="auto" w:sz="4"/>
        </w:tblBorders>
      </w:tblPr>
      <w:tblGrid>
        <w:gridCol w:w="100"/>
      </w:tblGrid>
      <w:tr>
        <w:tc>
          <w:tcPr>
            <w:shd w:fill="F2F2F2" w:val="clear"/>
            <w:tcMar>
              <w:top w:type="dxa" w:w="160"/>
              <w:left w:type="dxa" w:w="160"/>
              <w:bottom w:type="dxa" w:w="160"/>
              <w:right w:type="dxa" w:w="160"/>
            </w:tcMar>
          </w:tcPr>
          <w:p>
            <w:pPr>
              <w:spacing w:after="160"/>
            </w:pPr>
            <w:r>
              <w:rPr>
                <w:b/>
                <w:bCs/>
              </w:rPr>
              <w:t xml:space="preserve">Important Disclaimer — Strategic Consulting Advice Only</w:t>
            </w:r>
          </w:p>
          <w:p>
            <w:pPr>
              <w:spacing w:after="0"/>
            </w:pPr>
            <w:r>
              <w:rPr>
                <w:b/>
                <w:bCs/>
              </w:rPr>
              <w:t xml:space="preserve">Strategic Consulting Advice — Not Legal Advice: </w:t>
            </w:r>
            <w:r>
              <w:t xml:space="preserve">This document has been prepared by Mike Pullen, Strategic Consultant, specialising in adversarial AI risk, post-quantum resilience, and data sovereignty. It constitutes strategic consulting advice only. It does not constitute legal advice and should not be relied upon as such. Mike Pullen is a solicitor and is not qualified to practise law in the UAE, the Kingdom of Saudi Arabia, or any other Middle East jurisdiction. All legal, regulatory, and compliance provisions in this document must be reviewed and confirmed by UAE-qualified legal counsel (and KSA-qualified counsel where applicable) before the document is deployed, relied upon, or shared with third parties. SCC Middle East should obtain a formal legal opinion from qualified local counsel confirming the adequacy of these provisions.</w:t>
            </w:r>
          </w:p>
        </w:tc>
      </w:tr>
    </w:tbl>
    <w:p>
      <w:pPr>
        <w:spacing w:after="160"/>
      </w:pPr>
      <w:r>
        <w:t xml:space="preserve"/>
      </w:r>
    </w:p>
    <w:p>
      <w:pPr>
        <w:pStyle w:val="Heading1"/>
        <w:spacing w:after="120" w:before="240"/>
      </w:pPr>
      <w:r>
        <w:t xml:space="preserve">Introduction</w:t>
      </w:r>
    </w:p>
    <w:p>
      <w:pPr>
        <w:spacing w:after="160"/>
      </w:pPr>
      <w:r>
        <w:t xml:space="preserve">SCC Middle East is committed to conducting business with integrity, in compliance with all applicable laws, and in a manner that respects human rights, the environment, and the communities in which we operate. We expect the same standards from every organisation in our supply chain. This Code establishes those minimum standards. It is not exhaustive: Suppliers must comply with all applicable laws and regulations in every jurisdiction in which they operate, regardless of whether those laws are specifically referenced here.</w:t>
      </w:r>
    </w:p>
    <w:p>
      <w:pPr>
        <w:spacing w:after="160"/>
      </w:pPr>
      <w:r>
        <w:rPr>
          <w:b/>
          <w:bCs/>
        </w:rPr>
        <w:t xml:space="preserve">Cascading obligation: </w:t>
      </w:r>
      <w:r>
        <w:t xml:space="preserve">The Supplier shall ensure that its own suppliers, subcontractors, agents, and third-party representatives comply with standards equivalent to those set out in this Code. The Supplier shall include appropriate provisions in its own supplier contracts to give effect to this obligation.</w:t>
      </w:r>
    </w:p>
    <w:p>
      <w:pPr>
        <w:pStyle w:val="Heading1"/>
        <w:spacing w:after="120" w:before="240"/>
      </w:pPr>
      <w:r>
        <w:t xml:space="preserve">1. Legal and Regulatory Compliance</w:t>
      </w:r>
    </w:p>
    <w:p>
      <w:pPr>
        <w:spacing w:after="160"/>
      </w:pPr>
      <w:r>
        <w:t xml:space="preserve">The Supplier shall comply with all applicable laws and regulations.</w:t>
      </w:r>
    </w:p>
    <w:p>
      <w:pPr>
        <w:spacing w:after="160"/>
      </w:pPr>
      <w:r>
        <w:t xml:space="preserve">The Supplier shall maintain full compliance with all laws, regulations, and regulatory requirements applicable to its business activities, including those of the jurisdictions in which it operates and those of SCC Middle East's operating jurisdictions. Minimum requirements include the following.</w:t>
      </w:r>
    </w:p>
    <w:p>
      <w:pPr>
        <w:pStyle w:val="Heading2"/>
        <w:spacing w:after="100" w:before="180"/>
      </w:pPr>
      <w:r>
        <w:t xml:space="preserve">Anti-Bribery and Corruption</w:t>
      </w:r>
    </w:p>
    <w:p>
      <w:pPr>
        <w:spacing w:after="160"/>
      </w:pPr>
      <w:r>
        <w:t xml:space="preserve">The Supplier shall not offer, give, solicit, or accept any bribe, kickback, or improper payment in connection with any SCC Middle East contract or any interaction with government officials on SCC's behalf. This prohibition applies to cash, gifts, hospitality, facilitation payments, and any other benefit of value. The Supplier shall comply with UAE Federal Decree-Law No. 31 of 2021 (Crimes and Penalties Law), the UK Bribery Act 2010 (where applicable), and all other anti-bribery laws applicable to its operations.</w:t>
      </w:r>
    </w:p>
    <w:p>
      <w:pPr>
        <w:spacing w:after="160"/>
      </w:pPr>
      <w:r>
        <w:t xml:space="preserve">The Supplier shall maintain its own written anti-bribery policy and shall, on request, provide SCC Middle East with evidence of compliance including records of gifts and hospitality, due diligence on sub-agents, and training records.</w:t>
      </w:r>
    </w:p>
    <w:p>
      <w:pPr>
        <w:pStyle w:val="Heading2"/>
        <w:spacing w:after="100" w:before="180"/>
      </w:pPr>
      <w:r>
        <w:t xml:space="preserve">Anti-Money Laundering and Counter-Terrorist Financing</w:t>
      </w:r>
    </w:p>
    <w:p>
      <w:pPr>
        <w:spacing w:after="160"/>
      </w:pPr>
      <w:r>
        <w:t xml:space="preserve">The Supplier shall not knowingly facilitate, assist, or conceal any transaction that may constitute money laundering or terrorist financing. The Supplier shall maintain appropriate AML/CTF controls proportionate to its size and risk profile and shall report any suspicion of ML/TF activity to SCC Middle East's designated MLRO and to the relevant authorities in accordance with applicable law.</w:t>
      </w:r>
    </w:p>
    <w:p>
      <w:pPr>
        <w:pStyle w:val="Heading2"/>
        <w:spacing w:after="100" w:before="180"/>
      </w:pPr>
      <w:r>
        <w:t xml:space="preserve">Tax Evasion</w:t>
      </w:r>
    </w:p>
    <w:p>
      <w:pPr>
        <w:spacing w:after="160"/>
      </w:pPr>
      <w:r>
        <w:t xml:space="preserve">The Supplier shall not facilitate tax evasion by SCC Middle East, its employees, or any other person. This obligation applies to all forms of tax in all jurisdictions. The Supplier shall have reasonable prevention procedures in place consistent with the UK Criminal Finances Act 2017 (where applicable) and equivalent legislation.</w:t>
      </w:r>
    </w:p>
    <w:p>
      <w:pPr>
        <w:pStyle w:val="Heading2"/>
        <w:spacing w:after="100" w:before="180"/>
      </w:pPr>
      <w:r>
        <w:t xml:space="preserve">Modern Slavery and Human Trafficking</w:t>
      </w:r>
    </w:p>
    <w:p>
      <w:pPr>
        <w:spacing w:after="160"/>
      </w:pPr>
      <w:r>
        <w:t xml:space="preserve">The Supplier shall not engage in, support, or benefit from any form of forced labour, human trafficking, child labour, or modern slavery. The Supplier shall conduct appropriate due diligence on its own supply chain to identify and address modern slavery risks, consistent with the UK Modern Slavery Act 2015 (where applicable) and ILO Core Conventions.</w:t>
      </w:r>
    </w:p>
    <w:p>
      <w:pPr>
        <w:pStyle w:val="Heading1"/>
        <w:spacing w:after="120" w:before="240"/>
      </w:pPr>
      <w:r>
        <w:t xml:space="preserve">2. Data Protection and Cybersecurity</w:t>
      </w:r>
    </w:p>
    <w:p>
      <w:pPr>
        <w:spacing w:after="160"/>
      </w:pPr>
      <w:r>
        <w:t xml:space="preserve">The Supplier shall process personal data lawfully and maintain appropriate cybersecurity controls.</w:t>
      </w:r>
    </w:p>
    <w:tbl>
      <w:tblPr>
        <w:tblW w:type="pct" w:w="100%"/>
        <w:tblBorders>
          <w:top w:val="single" w:color="888888" w:sz="4"/>
          <w:left w:val="single" w:color="888888" w:sz="4"/>
          <w:bottom w:val="single" w:color="888888" w:sz="4"/>
          <w:right w:val="single" w:color="888888" w:sz="4"/>
          <w:insideH w:val="single" w:color="auto" w:sz="4"/>
          <w:insideV w:val="single" w:color="auto" w:sz="4"/>
        </w:tblBorders>
      </w:tblPr>
      <w:tblGrid>
        <w:gridCol w:w="100"/>
      </w:tblGrid>
      <w:tr>
        <w:tc>
          <w:tcPr>
            <w:shd w:fill="FBFBFB" w:val="clear"/>
            <w:tcMar>
              <w:top w:type="dxa" w:w="120"/>
              <w:left w:type="dxa" w:w="160"/>
              <w:bottom w:type="dxa" w:w="120"/>
              <w:right w:type="dxa" w:w="160"/>
            </w:tcMar>
          </w:tcPr>
          <w:p>
            <w:pPr>
              <w:spacing w:after="0"/>
            </w:pPr>
            <w:r>
              <w:rPr>
                <w:i/>
                <w:iCs/>
                <w:sz w:val="20"/>
                <w:szCs w:val="20"/>
              </w:rPr>
              <w:t xml:space="preserve">This section's references to UAE Federal Decree-Law No. 45 of 2021 (PDPL) "and its Implementing Regulations" should be confirmed with UAE-qualified counsel — several current sources indicate the Executive/Implementing Regulations remain unpublished as of mid-2026, and the recently established Federal Authority for Artificial Intelligence and Data (consolidating the former UAE Data Office) is expected to take this forward. This does not affect the primary PDPL statute's own force, only the status of its subordinate regulations.</w:t>
            </w:r>
          </w:p>
        </w:tc>
      </w:tr>
    </w:tbl>
    <w:p>
      <w:pPr>
        <w:spacing w:after="160"/>
      </w:pPr>
      <w:r>
        <w:t xml:space="preserve"/>
      </w:r>
    </w:p>
    <w:p>
      <w:pPr>
        <w:spacing w:after="160"/>
      </w:pPr>
      <w:r>
        <w:t xml:space="preserve">Where the Supplier processes personal data on behalf of SCC Middle East, it shall do so only in accordance with SCC Middle East's written instructions and in compliance with applicable data protection law, including:</w:t>
      </w:r>
    </w:p>
    <w:p>
      <w:pPr>
        <w:pStyle w:val="ListParagraph"/>
        <w:numPr>
          <w:ilvl w:val="0"/>
          <w:numId w:val="1"/>
        </w:numPr>
        <w:spacing w:after="100"/>
      </w:pPr>
      <w:r>
        <w:t xml:space="preserve">UAE Federal Decree-Law No. 45 of 2021 (Personal Data Protection Law, PDPL) and its Implementing Regulations;</w:t>
      </w:r>
    </w:p>
    <w:p>
      <w:pPr>
        <w:pStyle w:val="ListParagraph"/>
        <w:numPr>
          <w:ilvl w:val="0"/>
          <w:numId w:val="1"/>
        </w:numPr>
        <w:spacing w:after="100"/>
      </w:pPr>
      <w:r>
        <w:t xml:space="preserve">ADGM and DIFC Data Protection Law, where applicable to the Supplier's operations;</w:t>
      </w:r>
    </w:p>
    <w:p>
      <w:pPr>
        <w:pStyle w:val="ListParagraph"/>
        <w:numPr>
          <w:ilvl w:val="0"/>
          <w:numId w:val="1"/>
        </w:numPr>
        <w:spacing w:after="100"/>
      </w:pPr>
      <w:r>
        <w:t xml:space="preserve">EU General Data Protection Regulation (GDPR), where applicable;</w:t>
      </w:r>
    </w:p>
    <w:p>
      <w:pPr>
        <w:pStyle w:val="ListParagraph"/>
        <w:numPr>
          <w:ilvl w:val="0"/>
          <w:numId w:val="1"/>
        </w:numPr>
        <w:spacing w:after="100"/>
      </w:pPr>
      <w:r>
        <w:t xml:space="preserve">UK GDPR and Data Protection Act 2018, where applicable.</w:t>
      </w:r>
    </w:p>
    <w:p>
      <w:pPr>
        <w:spacing w:after="160"/>
      </w:pPr>
      <w:r>
        <w:t xml:space="preserve">The Supplier shall: implement appropriate technical and organisational security measures to protect personal data; not transfer personal data outside the UAE without SCC Middle East's prior written consent and appropriate safeguards; notify SCC Middle East within 24 hours of discovering any personal data breach; and comply with UAE Cabinet Resolution No. 57 of 2023 (Cybersecurity Law) and any applicable NCA cybersecurity framework requirements.</w:t>
      </w:r>
    </w:p>
    <w:tbl>
      <w:tblPr>
        <w:tblW w:type="pct" w:w="100%"/>
        <w:tblBorders>
          <w:top w:val="single" w:color="888888" w:sz="4"/>
          <w:left w:val="single" w:color="888888" w:sz="4"/>
          <w:bottom w:val="single" w:color="888888" w:sz="4"/>
          <w:right w:val="single" w:color="888888" w:sz="4"/>
          <w:insideH w:val="single" w:color="auto" w:sz="4"/>
          <w:insideV w:val="single" w:color="auto" w:sz="4"/>
        </w:tblBorders>
      </w:tblPr>
      <w:tblGrid>
        <w:gridCol w:w="100"/>
      </w:tblGrid>
      <w:tr>
        <w:tc>
          <w:tcPr>
            <w:shd w:fill="FBFBFB" w:val="clear"/>
            <w:tcMar>
              <w:top w:type="dxa" w:w="120"/>
              <w:left w:type="dxa" w:w="160"/>
              <w:bottom w:type="dxa" w:w="120"/>
              <w:right w:type="dxa" w:w="160"/>
            </w:tcMar>
          </w:tcPr>
          <w:p>
            <w:pPr>
              <w:spacing w:after="0"/>
            </w:pPr>
            <w:r>
              <w:rPr>
                <w:i/>
                <w:iCs/>
                <w:sz w:val="20"/>
                <w:szCs w:val="20"/>
              </w:rPr>
              <w:t xml:space="preserve">The "Cabinet Resolution No. 57 of 2023" citation above could not be independently confirmed against a primary source — worth checking directly with UAE-qualified counsel rather than assumed correct.</w:t>
            </w:r>
          </w:p>
        </w:tc>
      </w:tr>
    </w:tbl>
    <w:p>
      <w:pPr>
        <w:pStyle w:val="Heading1"/>
        <w:spacing w:after="120" w:before="240"/>
      </w:pPr>
      <w:r>
        <w:t xml:space="preserve">3. Human Rights and Labour Standards</w:t>
      </w:r>
    </w:p>
    <w:p>
      <w:pPr>
        <w:spacing w:after="160"/>
      </w:pPr>
      <w:r>
        <w:t xml:space="preserve">The Supplier shall respect human rights and maintain fair and lawful employment practices.</w:t>
      </w:r>
    </w:p>
    <w:p>
      <w:pPr>
        <w:pStyle w:val="ListParagraph"/>
        <w:numPr>
          <w:ilvl w:val="0"/>
          <w:numId w:val="1"/>
        </w:numPr>
        <w:spacing w:after="100"/>
      </w:pPr>
      <w:r>
        <w:rPr>
          <w:b/>
          <w:bCs/>
        </w:rPr>
        <w:t xml:space="preserve">Freedom of Association: </w:t>
      </w:r>
      <w:r>
        <w:t xml:space="preserve">The Supplier shall respect the right of workers to freedom of association and collective bargaining to the extent permitted by applicable law.</w:t>
      </w:r>
    </w:p>
    <w:p>
      <w:pPr>
        <w:pStyle w:val="ListParagraph"/>
        <w:numPr>
          <w:ilvl w:val="0"/>
          <w:numId w:val="1"/>
        </w:numPr>
        <w:spacing w:after="100"/>
      </w:pPr>
      <w:r>
        <w:rPr>
          <w:b/>
          <w:bCs/>
        </w:rPr>
        <w:t xml:space="preserve">Non-Discrimination: </w:t>
      </w:r>
      <w:r>
        <w:t xml:space="preserve">The Supplier shall not discriminate against any employee or job applicant on grounds of race, gender, religion, nationality, disability, age, or any other characteristic protected by applicable law, including UAE Federal Decree-Law No. 34 of 2023 on Combating Discrimination, Hatred and Extremism.</w:t>
      </w:r>
    </w:p>
    <w:p>
      <w:pPr>
        <w:pStyle w:val="ListParagraph"/>
        <w:numPr>
          <w:ilvl w:val="0"/>
          <w:numId w:val="1"/>
        </w:numPr>
        <w:spacing w:after="100"/>
      </w:pPr>
      <w:r>
        <w:rPr>
          <w:b/>
          <w:bCs/>
        </w:rPr>
        <w:t xml:space="preserve">Fair Wages and Working Time: </w:t>
      </w:r>
      <w:r>
        <w:t xml:space="preserve">The Supplier shall pay all workers at least the applicable minimum wage and shall comply with all applicable working time laws. Wages shall be paid on time and in full. No unlawful deductions shall be made.</w:t>
      </w:r>
    </w:p>
    <w:p>
      <w:pPr>
        <w:pStyle w:val="ListParagraph"/>
        <w:numPr>
          <w:ilvl w:val="0"/>
          <w:numId w:val="1"/>
        </w:numPr>
        <w:spacing w:after="100"/>
      </w:pPr>
      <w:r>
        <w:rPr>
          <w:b/>
          <w:bCs/>
        </w:rPr>
        <w:t xml:space="preserve">Safe Working Conditions: </w:t>
      </w:r>
      <w:r>
        <w:t xml:space="preserve">The Supplier shall provide a safe and healthy working environment in compliance with all applicable health and safety laws.</w:t>
      </w:r>
    </w:p>
    <w:p>
      <w:pPr>
        <w:pStyle w:val="ListParagraph"/>
        <w:numPr>
          <w:ilvl w:val="0"/>
          <w:numId w:val="1"/>
        </w:numPr>
        <w:spacing w:after="100"/>
      </w:pPr>
      <w:r>
        <w:rPr>
          <w:b/>
          <w:bCs/>
        </w:rPr>
        <w:t xml:space="preserve">Child Labour: </w:t>
      </w:r>
      <w:r>
        <w:t xml:space="preserve">The Supplier shall not employ anyone below the minimum working age prescribed by applicable law and shall never employ anyone under the age of 15.</w:t>
      </w:r>
    </w:p>
    <w:p>
      <w:pPr>
        <w:pStyle w:val="Heading1"/>
        <w:spacing w:after="120" w:before="240"/>
      </w:pPr>
      <w:r>
        <w:t xml:space="preserve">4. In-Country Value (ICV) and Local Content</w:t>
      </w:r>
    </w:p>
    <w:p>
      <w:pPr>
        <w:spacing w:after="160"/>
      </w:pPr>
      <w:r>
        <w:t xml:space="preserve">The Supplier shall support ICV and local content obligations where required.</w:t>
      </w:r>
    </w:p>
    <w:p>
      <w:pPr>
        <w:spacing w:after="160"/>
      </w:pPr>
      <w:r>
        <w:t xml:space="preserve">Where required by customer contracts, regulatory requirements, or applicable UAE or GCC government procurement rules, the Supplier shall support SCC Middle East's In-Country Value (ICV) and local content obligations. This includes:</w:t>
      </w:r>
    </w:p>
    <w:p>
      <w:pPr>
        <w:pStyle w:val="ListParagraph"/>
        <w:numPr>
          <w:ilvl w:val="0"/>
          <w:numId w:val="1"/>
        </w:numPr>
        <w:spacing w:after="100"/>
      </w:pPr>
      <w:r>
        <w:t xml:space="preserve">prioritising the employment, training, and development of UAE and GCC nationals in roles connected to SCC Middle East contracts where operationally feasible;</w:t>
      </w:r>
    </w:p>
    <w:p>
      <w:pPr>
        <w:pStyle w:val="ListParagraph"/>
        <w:numPr>
          <w:ilvl w:val="0"/>
          <w:numId w:val="1"/>
        </w:numPr>
        <w:spacing w:after="100"/>
      </w:pPr>
      <w:r>
        <w:t xml:space="preserve">supporting knowledge transfer, skills development, and capability-building programmes as required by SCC Middle East or its government clients;</w:t>
      </w:r>
    </w:p>
    <w:p>
      <w:pPr>
        <w:pStyle w:val="ListParagraph"/>
        <w:numPr>
          <w:ilvl w:val="0"/>
          <w:numId w:val="1"/>
        </w:numPr>
        <w:spacing w:after="100"/>
      </w:pPr>
      <w:r>
        <w:t xml:space="preserve">sourcing goods and services locally where quality, availability, and cost are comparable to international alternatives;</w:t>
      </w:r>
    </w:p>
    <w:p>
      <w:pPr>
        <w:pStyle w:val="ListParagraph"/>
        <w:numPr>
          <w:ilvl w:val="0"/>
          <w:numId w:val="1"/>
        </w:numPr>
        <w:spacing w:after="100"/>
      </w:pPr>
      <w:r>
        <w:t xml:space="preserve">providing SCC Middle East with ICV certification and documentation as required under Abu Dhabi Department of Economic Development (ADDED) ICV Programme rules or equivalent regulatory frameworks applicable to the relevant contract;</w:t>
      </w:r>
    </w:p>
    <w:p>
      <w:pPr>
        <w:pStyle w:val="ListParagraph"/>
        <w:numPr>
          <w:ilvl w:val="0"/>
          <w:numId w:val="1"/>
        </w:numPr>
        <w:spacing w:after="100"/>
      </w:pPr>
      <w:r>
        <w:t xml:space="preserve">maintaining records of ICV-related activities and providing these to SCC Middle East on request for the purposes of regulatory reporting and client compliance.</w:t>
      </w:r>
    </w:p>
    <w:p>
      <w:pPr>
        <w:spacing w:after="160"/>
      </w:pPr>
      <w:r>
        <w:t xml:space="preserve">ICV certification requirements vary by contract and client. The Supplier shall confirm with SCC Middle East's procurement team at contract inception whether ICV certification is required and, if so, the applicable framework and deadlines. Failure to provide required ICV documentation may constitute a breach of contract.</w:t>
      </w:r>
    </w:p>
    <w:p>
      <w:pPr>
        <w:pStyle w:val="Heading1"/>
        <w:spacing w:after="120" w:before="240"/>
      </w:pPr>
      <w:r>
        <w:t xml:space="preserve">5. Conflicts of Interest</w:t>
      </w:r>
    </w:p>
    <w:p>
      <w:pPr>
        <w:spacing w:after="160"/>
      </w:pPr>
      <w:r>
        <w:t xml:space="preserve">The Supplier shall disclose and manage all conflicts of interest.</w:t>
      </w:r>
    </w:p>
    <w:p>
      <w:pPr>
        <w:spacing w:after="160"/>
      </w:pPr>
      <w:r>
        <w:t xml:space="preserve">The Supplier shall promptly disclose to SCC Middle East any actual or potential conflict of interest that may affect its ability to perform its obligations objectively and independently. This includes personal, financial, or business relationships between the Supplier's personnel and SCC Middle East employees, directors, or government officials connected to any SCC Middle East contract. Failure to disclose a material conflict of interest is a breach of this Code.</w:t>
      </w:r>
    </w:p>
    <w:p>
      <w:pPr>
        <w:pStyle w:val="Heading1"/>
        <w:spacing w:after="120" w:before="240"/>
      </w:pPr>
      <w:r>
        <w:t xml:space="preserve">6. Environmental Responsibility</w:t>
      </w:r>
    </w:p>
    <w:p>
      <w:pPr>
        <w:spacing w:after="160"/>
      </w:pPr>
      <w:r>
        <w:t xml:space="preserve">The Supplier shall operate in an environmentally responsible manner.</w:t>
      </w:r>
    </w:p>
    <w:p>
      <w:pPr>
        <w:spacing w:after="160"/>
      </w:pPr>
      <w:r>
        <w:t xml:space="preserve">The Supplier shall comply with all applicable environmental laws and regulations. The Supplier shall take reasonable steps to minimise its environmental impact, including managing energy consumption, waste, and emissions. Where SCC Middle East has specific environmental requirements applicable to a contract, the Supplier shall comply with those requirements as a contractual obligation.</w:t>
      </w:r>
    </w:p>
    <w:p>
      <w:pPr>
        <w:pStyle w:val="Heading1"/>
        <w:spacing w:after="120" w:before="240"/>
      </w:pPr>
      <w:r>
        <w:t xml:space="preserve">7. Reporting Concerns</w:t>
      </w:r>
    </w:p>
    <w:p>
      <w:pPr>
        <w:spacing w:after="160"/>
      </w:pPr>
      <w:r>
        <w:t xml:space="preserve">The Supplier shall report concerns about compliance with this Code.</w:t>
      </w:r>
    </w:p>
    <w:p>
      <w:pPr>
        <w:spacing w:after="160"/>
      </w:pPr>
      <w:r>
        <w:t xml:space="preserve">The Supplier is encouraged to report any concerns about compliance with this Code — whether by the Supplier itself, its own supply chain, or by SCC Middle East personnel — to SCC Middle East's Whistleblowing Officer at [INSERT CONTACT]. Reports will be treated confidentially. The Supplier shall not suffer any commercial detriment for making a report in good faith.</w:t>
      </w:r>
    </w:p>
    <w:p>
      <w:pPr>
        <w:spacing w:after="160"/>
      </w:pPr>
      <w:r>
        <w:t xml:space="preserve">The Supplier shall cooperate fully with any audit, investigation, or review conducted by SCC Middle East or an independent third party to verify compliance with this Code. SCC Middle East reserves the right to audit the Supplier's compliance on reasonable notice.</w:t>
      </w:r>
    </w:p>
    <w:p>
      <w:pPr>
        <w:pStyle w:val="Heading1"/>
        <w:spacing w:after="120" w:before="240"/>
      </w:pPr>
      <w:r>
        <w:t xml:space="preserve">8. Consequences of Breach</w:t>
      </w:r>
    </w:p>
    <w:p>
      <w:pPr>
        <w:spacing w:after="160"/>
      </w:pPr>
      <w:r>
        <w:t xml:space="preserve">Breach of this Code is a material breach of the Supplier's contract with SCC Middle East. Consequences may include one or more of the following, at SCC Middle East's discretion:</w:t>
      </w:r>
    </w:p>
    <w:p>
      <w:pPr>
        <w:pStyle w:val="ListParagraph"/>
        <w:numPr>
          <w:ilvl w:val="0"/>
          <w:numId w:val="1"/>
        </w:numPr>
        <w:spacing w:after="100"/>
      </w:pPr>
      <w:r>
        <w:t xml:space="preserve">immediate termination of the relevant contract without liability to SCC Middle East;</w:t>
      </w:r>
    </w:p>
    <w:p>
      <w:pPr>
        <w:pStyle w:val="ListParagraph"/>
        <w:numPr>
          <w:ilvl w:val="0"/>
          <w:numId w:val="1"/>
        </w:numPr>
        <w:spacing w:after="100"/>
      </w:pPr>
      <w:r>
        <w:t xml:space="preserve">exclusion from future SCC Middle East procurement processes;</w:t>
      </w:r>
    </w:p>
    <w:p>
      <w:pPr>
        <w:pStyle w:val="ListParagraph"/>
        <w:numPr>
          <w:ilvl w:val="0"/>
          <w:numId w:val="1"/>
        </w:numPr>
        <w:spacing w:after="100"/>
      </w:pPr>
      <w:r>
        <w:t xml:space="preserve">reporting of the breach to relevant regulatory or law enforcement authorities;</w:t>
      </w:r>
    </w:p>
    <w:p>
      <w:pPr>
        <w:pStyle w:val="ListParagraph"/>
        <w:numPr>
          <w:ilvl w:val="0"/>
          <w:numId w:val="1"/>
        </w:numPr>
        <w:spacing w:after="100"/>
      </w:pPr>
      <w:r>
        <w:t xml:space="preserve">recovery of damages, losses, and costs arising from the breach;</w:t>
      </w:r>
    </w:p>
    <w:p>
      <w:pPr>
        <w:pStyle w:val="ListParagraph"/>
        <w:numPr>
          <w:ilvl w:val="0"/>
          <w:numId w:val="1"/>
        </w:numPr>
        <w:spacing w:after="100"/>
      </w:pPr>
      <w:r>
        <w:t xml:space="preserve">public disclosure where required by law or regulatory obligation.</w:t>
      </w:r>
    </w:p>
    <w:p>
      <w:pPr>
        <w:pageBreakBefore/>
      </w:pPr>
    </w:p>
    <w:p>
      <w:pPr>
        <w:pStyle w:val="Heading1"/>
        <w:spacing w:after="120" w:before="240"/>
      </w:pPr>
      <w:r>
        <w:t xml:space="preserve">Supplier Acknowledgment and Acceptance</w:t>
      </w:r>
    </w:p>
    <w:p>
      <w:pPr>
        <w:spacing w:after="160"/>
      </w:pPr>
      <w:r>
        <w:rPr>
          <w:b/>
          <w:bCs/>
        </w:rPr>
        <w:t xml:space="preserve">Execution Note: </w:t>
      </w:r>
      <w:r>
        <w:t xml:space="preserve">This Acknowledgment is to be executed by an authorised representative of the Supplier via DocuSign. On execution it will be automatically recorded in SCC Middle East's Zoho CRM compliance module and tagged against the Supplier's vendor record. The Supplier should retain a copy of the executed Acknowledgment for its records.</w:t>
      </w:r>
    </w:p>
    <w:p>
      <w:pPr>
        <w:spacing w:after="160"/>
      </w:pPr>
      <w:r>
        <w:t xml:space="preserve">The undersigned, being a duly authorised representative of the Supplier, confirms that the Supplier has read, understood, and agrees to comply with the SCC Middle East Supplier Code of Conduct v1.0 (the Code). The Supplier confirms that:</w:t>
      </w:r>
    </w:p>
    <w:p>
      <w:pPr>
        <w:pStyle w:val="ListParagraph"/>
        <w:numPr>
          <w:ilvl w:val="0"/>
          <w:numId w:val="1"/>
        </w:numPr>
        <w:spacing w:after="100"/>
      </w:pPr>
      <w:r>
        <w:t xml:space="preserve">it has the authority to enter into this commitment on behalf of the Supplier;</w:t>
      </w:r>
    </w:p>
    <w:p>
      <w:pPr>
        <w:pStyle w:val="ListParagraph"/>
        <w:numPr>
          <w:ilvl w:val="0"/>
          <w:numId w:val="1"/>
        </w:numPr>
        <w:spacing w:after="100"/>
      </w:pPr>
      <w:r>
        <w:t xml:space="preserve">it will comply with all obligations set out in the Code;</w:t>
      </w:r>
    </w:p>
    <w:p>
      <w:pPr>
        <w:pStyle w:val="ListParagraph"/>
        <w:numPr>
          <w:ilvl w:val="0"/>
          <w:numId w:val="1"/>
        </w:numPr>
        <w:spacing w:after="100"/>
      </w:pPr>
      <w:r>
        <w:t xml:space="preserve">it will cascade equivalent obligations to its own suppliers, subcontractors, and agents;</w:t>
      </w:r>
    </w:p>
    <w:p>
      <w:pPr>
        <w:pStyle w:val="ListParagraph"/>
        <w:numPr>
          <w:ilvl w:val="0"/>
          <w:numId w:val="1"/>
        </w:numPr>
        <w:spacing w:after="100"/>
      </w:pPr>
      <w:r>
        <w:t xml:space="preserve">it will notify SCC Middle East promptly of any breach or suspected breach of the Code by itself or its supply chain;</w:t>
      </w:r>
    </w:p>
    <w:p>
      <w:pPr>
        <w:pStyle w:val="ListParagraph"/>
        <w:numPr>
          <w:ilvl w:val="0"/>
          <w:numId w:val="1"/>
        </w:numPr>
        <w:spacing w:after="100"/>
      </w:pPr>
      <w:r>
        <w:t xml:space="preserve">it understands that compliance with the Code is a condition of doing business with SCC Middle East.</w:t>
      </w:r>
    </w:p>
    <w:p>
      <w:pPr>
        <w:spacing w:after="160"/>
      </w:pPr>
      <w:r>
        <w:t xml:space="preserve"/>
      </w:r>
    </w:p>
    <w:tbl>
      <w:tblPr>
        <w:tblW w:type="pct" w:w="100%"/>
        <w:tblBorders>
          <w:top w:val="single" w:color="AAAAAA" w:sz="4"/>
          <w:left w:val="single" w:color="AAAAAA" w:sz="4"/>
          <w:bottom w:val="single" w:color="AAAAAA" w:sz="4"/>
          <w:right w:val="single" w:color="AAAAAA" w:sz="4"/>
          <w:insideH w:val="single" w:color="AAAAAA" w:sz="4"/>
          <w:insideV w:val="single" w:color="AAAAAA" w:sz="4"/>
        </w:tblBorders>
      </w:tblPr>
      <w:tblGrid>
        <w:gridCol w:w="100"/>
        <w:gridCol w:w="100"/>
      </w:tblGrid>
      <w:tr>
        <w:tc>
          <w:tcPr>
            <w:tcW w:type="pct" w:w="35%"/>
            <w:tcMar>
              <w:top w:type="dxa" w:w="80"/>
              <w:left w:type="dxa" w:w="100"/>
              <w:bottom w:type="dxa" w:w="80"/>
              <w:right w:type="dxa" w:w="100"/>
            </w:tcMar>
          </w:tcPr>
          <w:p>
            <w:pPr>
              <w:spacing w:after="160"/>
            </w:pPr>
            <w:r>
              <w:rPr>
                <w:b/>
                <w:bCs/>
                <w:sz w:val="19"/>
                <w:szCs w:val="19"/>
              </w:rPr>
              <w:t xml:space="preserve">Supplier Legal Name</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Registered Address</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Company Registration Number</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Authorised Signatory Name</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Title / Role</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Email Address</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Date of Execution</w:t>
            </w:r>
          </w:p>
        </w:tc>
        <w:tc>
          <w:tcPr>
            <w:tcW w:type="pct" w:w="65%"/>
            <w:tcMar>
              <w:top w:type="dxa" w:w="80"/>
              <w:left w:type="dxa" w:w="100"/>
              <w:bottom w:type="dxa" w:w="80"/>
              <w:right w:type="dxa" w:w="100"/>
            </w:tcMar>
          </w:tcPr>
          <w:p>
            <w:pPr>
              <w:spacing w:after="160"/>
            </w:pPr>
            <w:r>
              <w:rPr>
                <w:i w:val="false"/>
                <w:iCs w:val="false"/>
                <w:color w:val="000000"/>
                <w:sz w:val="19"/>
                <w:szCs w:val="19"/>
              </w:rPr>
              <w:t xml:space="preserve"/>
            </w:r>
          </w:p>
        </w:tc>
      </w:tr>
      <w:tr>
        <w:tc>
          <w:tcPr>
            <w:tcW w:type="pct" w:w="35%"/>
            <w:tcMar>
              <w:top w:type="dxa" w:w="80"/>
              <w:left w:type="dxa" w:w="100"/>
              <w:bottom w:type="dxa" w:w="80"/>
              <w:right w:type="dxa" w:w="100"/>
            </w:tcMar>
          </w:tcPr>
          <w:p>
            <w:pPr>
              <w:spacing w:after="160"/>
            </w:pPr>
            <w:r>
              <w:rPr>
                <w:b/>
                <w:bCs/>
                <w:sz w:val="19"/>
                <w:szCs w:val="19"/>
              </w:rPr>
              <w:t xml:space="preserve">DocuSign Envelope ID</w:t>
            </w:r>
          </w:p>
        </w:tc>
        <w:tc>
          <w:tcPr>
            <w:tcW w:type="pct" w:w="65%"/>
            <w:tcMar>
              <w:top w:type="dxa" w:w="80"/>
              <w:left w:type="dxa" w:w="100"/>
              <w:bottom w:type="dxa" w:w="80"/>
              <w:right w:type="dxa" w:w="100"/>
            </w:tcMar>
          </w:tcPr>
          <w:p>
            <w:pPr>
              <w:spacing w:after="160"/>
            </w:pPr>
            <w:r>
              <w:rPr>
                <w:i/>
                <w:iCs/>
                <w:color w:val="888888"/>
                <w:sz w:val="19"/>
                <w:szCs w:val="19"/>
              </w:rPr>
              <w:t xml:space="preserve">[Populated automatically on execution]</w:t>
            </w:r>
          </w:p>
        </w:tc>
      </w:tr>
      <w:tr>
        <w:tc>
          <w:tcPr>
            <w:tcW w:type="pct" w:w="35%"/>
            <w:tcMar>
              <w:top w:type="dxa" w:w="80"/>
              <w:left w:type="dxa" w:w="100"/>
              <w:bottom w:type="dxa" w:w="80"/>
              <w:right w:type="dxa" w:w="100"/>
            </w:tcMar>
          </w:tcPr>
          <w:p>
            <w:pPr>
              <w:spacing w:after="160"/>
            </w:pPr>
            <w:r>
              <w:rPr>
                <w:b/>
                <w:bCs/>
                <w:sz w:val="19"/>
                <w:szCs w:val="19"/>
              </w:rPr>
              <w:t xml:space="preserve">Zoho Vendor Record ID</w:t>
            </w:r>
          </w:p>
        </w:tc>
        <w:tc>
          <w:tcPr>
            <w:tcW w:type="pct" w:w="65%"/>
            <w:tcMar>
              <w:top w:type="dxa" w:w="80"/>
              <w:left w:type="dxa" w:w="100"/>
              <w:bottom w:type="dxa" w:w="80"/>
              <w:right w:type="dxa" w:w="100"/>
            </w:tcMar>
          </w:tcPr>
          <w:p>
            <w:pPr>
              <w:spacing w:after="160"/>
            </w:pPr>
            <w:r>
              <w:rPr>
                <w:i/>
                <w:iCs/>
                <w:color w:val="888888"/>
                <w:sz w:val="19"/>
                <w:szCs w:val="19"/>
              </w:rPr>
              <w:t xml:space="preserve">[Populated automatically on integration]</w:t>
            </w:r>
          </w:p>
        </w:tc>
      </w:tr>
    </w:tbl>
    <w:p>
      <w:pPr>
        <w:spacing w:after="160"/>
      </w:pPr>
      <w:r>
        <w:t xml:space="preserve"/>
      </w:r>
    </w:p>
    <w:p>
      <w:pPr>
        <w:spacing w:after="160"/>
      </w:pPr>
      <w:r>
        <w:t xml:space="preserve">By executing this Acknowledgment via DocuSign, the Supplier confirms the above and agrees that the electronic signature has the same legal effect as a handwritten signature under UAE Federal Decree-Law No. 46 of 2021 on Electronic Transactions and Trust Services. A copy of the executed document will be sent to the email address provided above and retained in SCC Middle East's compliance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99999" w:sz="4" w:space="4"/>
      </w:pBdr>
    </w:pPr>
    <w:r>
      <w:rPr>
        <w:color w:val="666666"/>
        <w:sz w:val="14"/>
        <w:szCs w:val="14"/>
      </w:rPr>
      <w:t xml:space="preserve">SCC Middle East Supplier Code of Conduct v1.0 | Strategic consulting advice only — not legal advice — review by UAE-qualified counsel required</w:t>
    </w:r>
    <w:r>
      <w:rPr>
        <w:color w:val="666666"/>
        <w:sz w:val="14"/>
        <w:szCs w:val="14"/>
      </w:rPr>
      <w:t xml:space="preserve">  Page </w:t>
    </w:r>
    <w:r>
      <w:rPr>
        <w:color w:val="66666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2026-07-29T07:20:52.781Z</dcterms:created>
  <dcterms:modified xsi:type="dcterms:W3CDTF">2026-07-29T07:20:52.782Z</dcterms:modified>
</cp:coreProperties>
</file>

<file path=docProps/custom.xml><?xml version="1.0" encoding="utf-8"?>
<Properties xmlns="http://schemas.openxmlformats.org/officeDocument/2006/custom-properties" xmlns:vt="http://schemas.openxmlformats.org/officeDocument/2006/docPropsVTypes"/>
</file>